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ind w:left="5103" w:right="-144"/>
        <w:jc w:val="both"/>
        <w:widowControl/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Приложение </w:t>
      </w:r>
      <w:r>
        <w:rPr>
          <w:sz w:val="24"/>
          <w:szCs w:val="22"/>
        </w:rPr>
        <w:t xml:space="preserve">6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44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«О бюджете Территориального фонда обязательного медицинского страхования Московской области на 20</w:t>
      </w:r>
      <w:r>
        <w:rPr>
          <w:sz w:val="24"/>
          <w:szCs w:val="22"/>
        </w:rPr>
        <w:t xml:space="preserve">26</w:t>
      </w:r>
      <w:r>
        <w:rPr>
          <w:sz w:val="24"/>
          <w:szCs w:val="22"/>
        </w:rPr>
        <w:t xml:space="preserve"> год </w:t>
        <w:br w:type="textWrapping" w:clear="all"/>
        <w:t xml:space="preserve">и на плановый период 2027</w:t>
      </w:r>
      <w:r>
        <w:rPr>
          <w:sz w:val="24"/>
          <w:szCs w:val="22"/>
        </w:rPr>
        <w:t xml:space="preserve"> и 2028</w:t>
      </w:r>
      <w:r>
        <w:rPr>
          <w:sz w:val="24"/>
          <w:szCs w:val="22"/>
        </w:rPr>
        <w:t xml:space="preserve"> годов»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left="1418" w:right="14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получаемые из других бюджетов бюджетной системы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на плановый период 2027</w:t>
      </w:r>
      <w:r>
        <w:rPr>
          <w:rFonts w:ascii="Times New Roman" w:hAnsi="Times New Roman" w:cs="Times New Roman"/>
          <w:sz w:val="28"/>
          <w:szCs w:val="28"/>
        </w:rPr>
        <w:t xml:space="preserve"> и 2028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4"/>
        <w:ind w:left="1418" w:right="141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tbl>
      <w:tblPr>
        <w:tblW w:w="9700" w:type="dxa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322"/>
        <w:gridCol w:w="1701"/>
        <w:gridCol w:w="16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1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6322" w:type="dxa"/>
            <w:vAlign w:val="center"/>
            <w:vMerge w:val="restart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</w:pPr>
            <w:r>
              <w:rPr>
                <w:sz w:val="24"/>
              </w:rPr>
              <w:t xml:space="preserve">Наименование межбюджетн</w:t>
            </w:r>
            <w:r>
              <w:rPr>
                <w:sz w:val="24"/>
              </w:rPr>
              <w:t xml:space="preserve">ого</w:t>
            </w:r>
            <w:r>
              <w:rPr>
                <w:sz w:val="24"/>
              </w:rPr>
              <w:t xml:space="preserve"> трансферт</w:t>
            </w:r>
            <w:r>
              <w:rPr>
                <w:sz w:val="24"/>
              </w:rPr>
              <w:t xml:space="preserve">а</w:t>
            </w:r>
            <w:r/>
          </w:p>
        </w:tc>
        <w:tc>
          <w:tcPr>
            <w:gridSpan w:val="2"/>
            <w:tcMar>
              <w:left w:w="0" w:type="dxa"/>
              <w:top w:w="0" w:type="dxa"/>
              <w:right w:w="0" w:type="dxa"/>
              <w:bottom w:w="0" w:type="dxa"/>
            </w:tcMar>
            <w:tcW w:w="337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</w:pPr>
            <w:r>
              <w:rPr>
                <w:sz w:val="24"/>
              </w:rPr>
              <w:t xml:space="preserve">Сумма (тыс. рублей)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1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6322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</w:pPr>
            <w:r>
              <w:rPr>
                <w:sz w:val="24"/>
              </w:rPr>
              <w:t xml:space="preserve">2027</w:t>
            </w:r>
            <w:r>
              <w:rPr>
                <w:sz w:val="24"/>
              </w:rPr>
              <w:t xml:space="preserve"> год</w:t>
            </w:r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677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</w:pPr>
            <w:r>
              <w:rPr>
                <w:sz w:val="24"/>
              </w:rPr>
              <w:t xml:space="preserve">2028</w:t>
            </w:r>
            <w:r>
              <w:rPr>
                <w:sz w:val="24"/>
              </w:rPr>
              <w:t xml:space="preserve"> год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6322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677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70"/>
        </w:trPr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6322" w:type="dxa"/>
            <w:vAlign w:val="top"/>
            <w:textDirection w:val="lrTb"/>
            <w:noWrap w:val="false"/>
          </w:tcPr>
          <w:p>
            <w:pPr>
              <w:pStyle w:val="860"/>
              <w:spacing w:after="1" w:line="240" w:lineRule="atLeast"/>
              <w:rPr>
                <w:sz w:val="24"/>
              </w:rPr>
            </w:pPr>
            <w:r>
              <w:rPr>
                <w:sz w:val="24"/>
              </w:rPr>
              <w:t xml:space="preserve">Безвозмездные поступления от других бюджетов бюджетной системы Российской Федерации, всего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246 521 302,9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262 836 143,3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6322" w:type="dxa"/>
            <w:vAlign w:val="top"/>
            <w:textDirection w:val="lrTb"/>
            <w:noWrap w:val="false"/>
          </w:tcPr>
          <w:p>
            <w:pPr>
              <w:pStyle w:val="860"/>
              <w:spacing w:after="1" w:line="240" w:lineRule="atLeast"/>
            </w:pPr>
            <w:r>
              <w:rPr>
                <w:sz w:val="24"/>
              </w:rPr>
              <w:t xml:space="preserve">Межбюджетные трансферты, передаваемые бюджетам государственных внебюджетных фондов, всего</w:t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243 990 888,9</w:t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260 305 670,3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6322" w:type="dxa"/>
            <w:vAlign w:val="top"/>
            <w:textDirection w:val="lrTb"/>
            <w:noWrap w:val="false"/>
          </w:tcPr>
          <w:p>
            <w:pPr>
              <w:pStyle w:val="860"/>
              <w:spacing w:after="1" w:line="240" w:lineRule="atLeast"/>
            </w:pPr>
            <w:r>
              <w:rPr>
                <w:sz w:val="24"/>
              </w:rPr>
              <w:t xml:space="preserve">в том числе:</w:t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6322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ind w:left="108" w:right="10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межбюджетные трансферты из бюджетов субъектов Р</w:t>
            </w:r>
            <w:r>
              <w:rPr>
                <w:bCs/>
                <w:sz w:val="24"/>
                <w:szCs w:val="24"/>
              </w:rPr>
              <w:t xml:space="preserve">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17 208 257,0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17 329 566,0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6322" w:type="dxa"/>
            <w:vAlign w:val="top"/>
            <w:textDirection w:val="lrTb"/>
            <w:noWrap w:val="false"/>
          </w:tcPr>
          <w:p>
            <w:pPr>
              <w:pStyle w:val="860"/>
              <w:spacing w:after="1" w:line="240" w:lineRule="atLeast"/>
            </w:pPr>
            <w:r>
              <w:rPr>
                <w:sz w:val="24"/>
              </w:rPr>
              <w:t xml:space="preserve">субвенции бюджетам территориальных фондов обязательного медицинского страхования </w:t>
              <w:br w:type="textWrapping" w:clear="all"/>
            </w:r>
            <w:r>
              <w:rPr>
                <w:sz w:val="24"/>
              </w:rPr>
              <w:t xml:space="preserve">на финансовое обеспечение организации обязательного медицинского страхования </w:t>
              <w:br w:type="textWrapping" w:clear="all"/>
              <w:t xml:space="preserve">на территориях субъектов Российской Федерации</w:t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213 058 576,3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228 703 086,5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6322" w:type="dxa"/>
            <w:vAlign w:val="top"/>
            <w:textDirection w:val="lrTb"/>
            <w:noWrap w:val="false"/>
          </w:tcPr>
          <w:p>
            <w:pPr>
              <w:pStyle w:val="860"/>
              <w:spacing w:after="1" w:line="240" w:lineRule="atLeast"/>
            </w:pPr>
            <w:r>
              <w:rPr>
                <w:sz w:val="24"/>
              </w:rPr>
              <w:t xml:space="preserve">прочие межбюджетные трансферты, передаваемые бюджетам территориальных фондов обязательного медицинского страхования</w:t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13 724 055,6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14 273 017,8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6322" w:type="dxa"/>
            <w:vAlign w:val="top"/>
            <w:textDirection w:val="lrTb"/>
            <w:noWrap w:val="false"/>
          </w:tcPr>
          <w:p>
            <w:pPr>
              <w:pStyle w:val="860"/>
              <w:spacing w:after="1" w:line="240" w:lineRule="atLeast"/>
            </w:pPr>
            <w:r>
              <w:rPr>
                <w:sz w:val="24"/>
              </w:rPr>
              <w:t xml:space="preserve">Прочие безвозмездные поступления </w:t>
              <w:br w:type="textWrapping" w:clear="all"/>
              <w:t xml:space="preserve">в территориальные фонды обязательного медицинского страхования от бюджетов субъектов Российской Федерации</w:t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70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2 530 414,0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2 530 473,0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60"/>
        <w:jc w:val="both"/>
        <w:spacing w:after="1" w:line="240" w:lineRule="atLeast"/>
      </w:pPr>
      <w:r/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Calibri Light">
    <w:panose1 w:val="020F03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rPr>
        <w:rStyle w:val="867"/>
      </w:rPr>
      <w:framePr w:vAnchor="text" w:hAnchor="margin" w:xAlign="center" w:y="1"/>
    </w:pPr>
    <w:r>
      <w:rPr>
        <w:rStyle w:val="867"/>
      </w:rPr>
      <w:fldChar w:fldCharType="begin"/>
    </w:r>
    <w:r>
      <w:rPr>
        <w:rStyle w:val="867"/>
      </w:rPr>
      <w:instrText xml:space="preserve">PAGE  </w:instrText>
    </w:r>
    <w:r>
      <w:rPr>
        <w:rStyle w:val="867"/>
      </w:rPr>
      <w:fldChar w:fldCharType="separate"/>
    </w:r>
    <w:r>
      <w:rPr>
        <w:rStyle w:val="867"/>
      </w:rPr>
      <w:t xml:space="preserve">2</w:t>
    </w:r>
    <w:r>
      <w:rPr>
        <w:rStyle w:val="867"/>
      </w:rPr>
      <w:fldChar w:fldCharType="end"/>
    </w:r>
    <w:r>
      <w:rPr>
        <w:rStyle w:val="867"/>
      </w:rPr>
    </w:r>
    <w:r>
      <w:rPr>
        <w:rStyle w:val="867"/>
      </w:rPr>
    </w:r>
  </w:p>
  <w:p>
    <w:pPr>
      <w:pStyle w:val="866"/>
      <w:rPr>
        <w:rStyle w:val="867"/>
      </w:rPr>
      <w:framePr w:vAnchor="text" w:hAnchor="page" w:x="6382" w:y="1"/>
    </w:pPr>
    <w:r>
      <w:rPr>
        <w:rStyle w:val="867"/>
      </w:rPr>
    </w:r>
    <w:r>
      <w:rPr>
        <w:rStyle w:val="867"/>
      </w:rPr>
    </w:r>
    <w:r>
      <w:rPr>
        <w:rStyle w:val="867"/>
      </w:rPr>
    </w:r>
  </w:p>
  <w:p>
    <w:pPr>
      <w:pStyle w:val="866"/>
      <w:jc w:val="center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link w:val="7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link w:val="714"/>
    <w:uiPriority w:val="35"/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qFormat/>
    <w:pPr>
      <w:widowControl w:val="off"/>
    </w:pPr>
    <w:rPr>
      <w:lang w:val="ru-RU" w:eastAsia="ru-RU" w:bidi="ar-SA"/>
    </w:rPr>
  </w:style>
  <w:style w:type="paragraph" w:styleId="861">
    <w:name w:val="Заголовок 1"/>
    <w:basedOn w:val="860"/>
    <w:next w:val="860"/>
    <w:link w:val="870"/>
    <w:qFormat/>
    <w:pPr>
      <w:ind w:left="5580" w:right="-257"/>
      <w:jc w:val="both"/>
      <w:keepNext/>
      <w:widowControl/>
      <w:outlineLvl w:val="0"/>
    </w:pPr>
    <w:rPr>
      <w:sz w:val="24"/>
      <w:szCs w:val="24"/>
      <w:lang w:val="en-US" w:eastAsia="en-US"/>
    </w:rPr>
  </w:style>
  <w:style w:type="paragraph" w:styleId="862">
    <w:name w:val="Заголовок 9"/>
    <w:basedOn w:val="860"/>
    <w:next w:val="860"/>
    <w:link w:val="871"/>
    <w:semiHidden/>
    <w:unhideWhenUsed/>
    <w:qFormat/>
    <w:pPr>
      <w:spacing w:before="240" w:after="60"/>
      <w:outlineLvl w:val="8"/>
    </w:pPr>
    <w:rPr>
      <w:rFonts w:ascii="Calibri Light" w:hAnsi="Calibri Light"/>
      <w:sz w:val="22"/>
      <w:szCs w:val="22"/>
      <w:lang w:val="en-US" w:eastAsia="en-US"/>
    </w:rPr>
  </w:style>
  <w:style w:type="character" w:styleId="863">
    <w:name w:val="Основной шрифт абзаца"/>
    <w:next w:val="863"/>
    <w:link w:val="860"/>
    <w:uiPriority w:val="1"/>
    <w:semiHidden/>
    <w:unhideWhenUsed/>
  </w:style>
  <w:style w:type="table" w:styleId="864">
    <w:name w:val="Обычная таблица"/>
    <w:next w:val="864"/>
    <w:link w:val="860"/>
    <w:uiPriority w:val="99"/>
    <w:semiHidden/>
    <w:unhideWhenUsed/>
    <w:tblPr/>
  </w:style>
  <w:style w:type="numbering" w:styleId="865">
    <w:name w:val="Нет списка"/>
    <w:next w:val="865"/>
    <w:link w:val="860"/>
    <w:uiPriority w:val="99"/>
    <w:semiHidden/>
    <w:unhideWhenUsed/>
  </w:style>
  <w:style w:type="paragraph" w:styleId="866">
    <w:name w:val="Верхний колонтитул"/>
    <w:basedOn w:val="860"/>
    <w:next w:val="866"/>
    <w:link w:val="860"/>
    <w:pPr>
      <w:widowControl/>
      <w:tabs>
        <w:tab w:val="center" w:pos="4677" w:leader="none"/>
        <w:tab w:val="right" w:pos="9355" w:leader="none"/>
      </w:tabs>
    </w:pPr>
  </w:style>
  <w:style w:type="character" w:styleId="867">
    <w:name w:val="Номер страницы"/>
    <w:basedOn w:val="863"/>
    <w:next w:val="867"/>
    <w:link w:val="860"/>
  </w:style>
  <w:style w:type="paragraph" w:styleId="868">
    <w:name w:val="Текст выноски"/>
    <w:basedOn w:val="860"/>
    <w:next w:val="868"/>
    <w:link w:val="860"/>
    <w:semiHidden/>
    <w:rPr>
      <w:rFonts w:ascii="Tahoma" w:hAnsi="Tahoma" w:cs="Tahoma"/>
      <w:sz w:val="16"/>
      <w:szCs w:val="16"/>
    </w:rPr>
  </w:style>
  <w:style w:type="paragraph" w:styleId="869">
    <w:name w:val="Схема документа"/>
    <w:basedOn w:val="860"/>
    <w:next w:val="869"/>
    <w:link w:val="860"/>
    <w:semiHidden/>
    <w:pPr>
      <w:shd w:val="clear" w:color="auto" w:fill="000080"/>
    </w:pPr>
    <w:rPr>
      <w:rFonts w:ascii="Tahoma" w:hAnsi="Tahoma" w:cs="Tahoma"/>
    </w:rPr>
  </w:style>
  <w:style w:type="character" w:styleId="870">
    <w:name w:val="Заголовок 1 Знак"/>
    <w:next w:val="870"/>
    <w:link w:val="861"/>
    <w:rPr>
      <w:sz w:val="24"/>
      <w:szCs w:val="24"/>
    </w:rPr>
  </w:style>
  <w:style w:type="character" w:styleId="871">
    <w:name w:val="Заголовок 9 Знак"/>
    <w:next w:val="871"/>
    <w:link w:val="862"/>
    <w:semiHidden/>
    <w:rPr>
      <w:rFonts w:ascii="Calibri Light" w:hAnsi="Calibri Light" w:eastAsia="Times New Roman" w:cs="Times New Roman"/>
      <w:sz w:val="22"/>
      <w:szCs w:val="22"/>
    </w:rPr>
  </w:style>
  <w:style w:type="paragraph" w:styleId="872">
    <w:name w:val="ConsPlusCell"/>
    <w:next w:val="872"/>
    <w:link w:val="860"/>
    <w:uiPriority w:val="99"/>
    <w:rPr>
      <w:sz w:val="24"/>
      <w:szCs w:val="24"/>
      <w:lang w:val="ru-RU" w:eastAsia="ru-RU" w:bidi="ar-SA"/>
    </w:rPr>
  </w:style>
  <w:style w:type="paragraph" w:styleId="873">
    <w:name w:val="ConsPlusNormal"/>
    <w:next w:val="873"/>
    <w:link w:val="860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874">
    <w:name w:val="ConsPlusTitle"/>
    <w:next w:val="874"/>
    <w:link w:val="860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character" w:styleId="875" w:default="1">
    <w:name w:val="Default Paragraph Font"/>
    <w:uiPriority w:val="1"/>
    <w:semiHidden/>
    <w:unhideWhenUsed/>
  </w:style>
  <w:style w:type="numbering" w:styleId="876" w:default="1">
    <w:name w:val="No List"/>
    <w:uiPriority w:val="99"/>
    <w:semiHidden/>
    <w:unhideWhenUsed/>
  </w:style>
  <w:style w:type="table" w:styleId="87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MOFOMS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nikitina</dc:creator>
  <cp:lastModifiedBy>kazanenko_iv</cp:lastModifiedBy>
  <cp:revision>43</cp:revision>
  <dcterms:created xsi:type="dcterms:W3CDTF">2019-11-12T13:17:00Z</dcterms:created>
  <dcterms:modified xsi:type="dcterms:W3CDTF">2025-10-10T08:37:35Z</dcterms:modified>
  <cp:version>1048576</cp:version>
</cp:coreProperties>
</file>